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B1" w:rsidRPr="005E08B1" w:rsidRDefault="005E08B1" w:rsidP="005E08B1">
      <w:pPr>
        <w:tabs>
          <w:tab w:val="left" w:pos="6300"/>
        </w:tabs>
        <w:rPr>
          <w:rFonts w:ascii="TH SarabunPSK" w:hAnsi="TH SarabunPSK" w:cs="TH SarabunPSK" w:hint="cs"/>
          <w:b/>
          <w:bCs/>
          <w:sz w:val="28"/>
          <w:u w:val="single"/>
        </w:rPr>
      </w:pPr>
      <w:r w:rsidRPr="005E08B1">
        <w:rPr>
          <w:rFonts w:ascii="TH SarabunPSK" w:hAnsi="TH SarabunPSK" w:cs="TH SarabunPSK" w:hint="cs"/>
          <w:b/>
          <w:bCs/>
          <w:sz w:val="28"/>
          <w:u w:val="single"/>
          <w:cs/>
        </w:rPr>
        <w:t>งบการเงินที่สำคัญ</w:t>
      </w:r>
    </w:p>
    <w:p w:rsidR="009C5484" w:rsidRPr="004E3363" w:rsidRDefault="004E3363" w:rsidP="004E3363">
      <w:pPr>
        <w:spacing w:after="0" w:line="276" w:lineRule="auto"/>
        <w:jc w:val="thaiDistribute"/>
        <w:rPr>
          <w:rFonts w:ascii="TH SarabunPSK" w:hAnsi="TH SarabunPSK" w:cs="TH SarabunPSK" w:hint="cs"/>
          <w:b/>
          <w:bCs/>
          <w:color w:val="006600"/>
          <w:sz w:val="28"/>
        </w:rPr>
      </w:pPr>
      <w:r w:rsidRPr="004E3363">
        <w:rPr>
          <w:rFonts w:ascii="TH SarabunPSK" w:hAnsi="TH SarabunPSK" w:cs="TH SarabunPSK"/>
          <w:b/>
          <w:bCs/>
          <w:color w:val="006600"/>
          <w:sz w:val="28"/>
          <w:cs/>
        </w:rPr>
        <w:t>การวิเคราะห์และคำอธิบายของผู้จัดการกองทรัสต์ถึงการดำเนินงานและฐานะทางการเงินของกองทรัสต์ในช่วงปีที่ผ่าน</w:t>
      </w:r>
    </w:p>
    <w:tbl>
      <w:tblPr>
        <w:tblStyle w:val="TableGrid"/>
        <w:tblW w:w="10116" w:type="dxa"/>
        <w:tblInd w:w="32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432"/>
        <w:gridCol w:w="1615"/>
        <w:gridCol w:w="1696"/>
        <w:gridCol w:w="1534"/>
      </w:tblGrid>
      <w:tr w:rsidR="004E3363" w:rsidRPr="004E3363" w:rsidTr="004E3363">
        <w:trPr>
          <w:trHeight w:val="397"/>
          <w:tblHeader/>
        </w:trPr>
        <w:tc>
          <w:tcPr>
            <w:tcW w:w="183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4E3363" w:rsidRPr="004E3363" w:rsidRDefault="004E3363" w:rsidP="004E3363">
            <w:pPr>
              <w:spacing w:line="240" w:lineRule="exact"/>
              <w:ind w:left="709"/>
              <w:contextualSpacing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  <w:hideMark/>
          </w:tcPr>
          <w:p w:rsidR="004E3363" w:rsidRPr="004E3363" w:rsidRDefault="004E3363" w:rsidP="004E3363">
            <w:pPr>
              <w:spacing w:line="240" w:lineRule="exact"/>
              <w:ind w:left="-1809"/>
              <w:jc w:val="right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(หน่วย: บาท)</w:t>
            </w:r>
          </w:p>
        </w:tc>
      </w:tr>
      <w:tr w:rsidR="004E3363" w:rsidRPr="004E3363" w:rsidTr="004E3363">
        <w:trPr>
          <w:trHeight w:val="397"/>
          <w:tblHeader/>
        </w:trPr>
        <w:tc>
          <w:tcPr>
            <w:tcW w:w="5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08"/>
              <w:contextualSpacing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  <w:t>ข้อมูลทางการเงินโดยสรุป</w:t>
            </w:r>
          </w:p>
        </w:tc>
        <w:tc>
          <w:tcPr>
            <w:tcW w:w="16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6"/>
                <w:szCs w:val="26"/>
                <w:cs/>
              </w:rPr>
              <w:t>ปี 2563</w:t>
            </w:r>
          </w:p>
        </w:tc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</w:tcPr>
          <w:p w:rsidR="004E3363" w:rsidRPr="004E3363" w:rsidRDefault="004E3363" w:rsidP="004E3363">
            <w:pPr>
              <w:spacing w:line="240" w:lineRule="exact"/>
              <w:ind w:left="8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  <w:t xml:space="preserve">ปี </w:t>
            </w:r>
            <w:r w:rsidRPr="004E3363"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</w:rPr>
              <w:t>2562</w:t>
            </w:r>
          </w:p>
        </w:tc>
        <w:tc>
          <w:tcPr>
            <w:tcW w:w="1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hideMark/>
          </w:tcPr>
          <w:p w:rsidR="004E3363" w:rsidRPr="004E3363" w:rsidRDefault="004E3363" w:rsidP="004E3363">
            <w:pPr>
              <w:spacing w:line="240" w:lineRule="exact"/>
              <w:ind w:left="86"/>
              <w:contextualSpacing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  <w:cs/>
              </w:rPr>
              <w:t xml:space="preserve">ปี </w:t>
            </w:r>
            <w:r w:rsidRPr="004E3363">
              <w:rPr>
                <w:rFonts w:ascii="TH SarabunPSK" w:hAnsi="TH SarabunPSK" w:cs="TH SarabunPSK"/>
                <w:b/>
                <w:bCs/>
                <w:color w:val="FFFFFF" w:themeColor="background1"/>
                <w:sz w:val="26"/>
                <w:szCs w:val="26"/>
              </w:rPr>
              <w:t>2561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ind w:left="35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งบกำไรขาดทุน</w:t>
            </w:r>
          </w:p>
        </w:tc>
        <w:tc>
          <w:tcPr>
            <w:tcW w:w="1615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96" w:type="dxa"/>
            <w:tcBorders>
              <w:top w:val="single" w:sz="4" w:space="0" w:color="FFFFFF" w:themeColor="background1"/>
            </w:tcBorders>
          </w:tcPr>
          <w:p w:rsidR="004E3363" w:rsidRPr="004E3363" w:rsidRDefault="004E3363" w:rsidP="004E3363">
            <w:pPr>
              <w:spacing w:line="240" w:lineRule="exact"/>
              <w:ind w:left="709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34" w:type="dxa"/>
            <w:tcBorders>
              <w:top w:val="single" w:sz="4" w:space="0" w:color="FFFFFF" w:themeColor="background1"/>
            </w:tcBorders>
          </w:tcPr>
          <w:p w:rsidR="004E3363" w:rsidRPr="004E3363" w:rsidRDefault="004E3363" w:rsidP="004E3363">
            <w:pPr>
              <w:spacing w:line="240" w:lineRule="exact"/>
              <w:ind w:left="709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รายได้ค่าเช่าและบริการ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118,298,103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68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451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606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67,623,919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รายได้ดอกเบี้ย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21,609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302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21,018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รายได้อื่น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93,150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267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794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9,736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รายได้รวม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118,412,862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68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756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702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67,654,673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ค่าธรรมเนียมและค่าใช้จ่ายรวม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819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293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570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843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ต้นทุนทางการเงิน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10,146,442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962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272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9,915,056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ค่าใช้จ่ายรวม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35,151,144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23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781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564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23,485,900</w:t>
            </w:r>
          </w:p>
        </w:tc>
      </w:tr>
      <w:tr w:rsidR="004E3363" w:rsidRPr="004E3363" w:rsidTr="004E3363">
        <w:trPr>
          <w:trHeight w:val="438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รายได้จากการลงทุนสุทธิ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83,261,718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44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975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138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44,168,773</w:t>
            </w:r>
          </w:p>
        </w:tc>
      </w:tr>
      <w:tr w:rsidR="004E3363" w:rsidRPr="004E3363" w:rsidTr="004E3363">
        <w:trPr>
          <w:trHeight w:val="42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รายการกำไรสุทธิจากเงินลงทุนที่เกิดขึ้นและที่ยังไม่เกิดขึ้น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(3,306,134)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(1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825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063)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1,139,251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การเพิ่มขึ้นในสินทรัพย์สุทธิจากการดำเนินงาน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79,955,584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43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150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074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45,308,024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5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งบดุล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เงินลงทุนในอสังหาริมทรัพย์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1,430,439,661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433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749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900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823,007,440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เงินลงทุนในหลักทรัพย์ตามมูลค่ายุติธรรม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825,733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821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628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9,139,251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เงินฝากธนาคาร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6,347,015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952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117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1,284,861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เงินฝากธนาคารที่ติดภาระผูกพัน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2A52F2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33,504,293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530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845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32,561,110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ลูกหนี้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66,832,979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38,988,713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35,597,864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ลูกหนี้กองทุนสำหรับสินทรัพย์สุทธิรอรับโอน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151,294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สินทรัพย์อื่นๆ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30,247,358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10,673,320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รวมสินทรัพย์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1,553,192,408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1,545,290,561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912,415,141</w:t>
            </w:r>
          </w:p>
        </w:tc>
      </w:tr>
      <w:tr w:rsidR="004E3363" w:rsidRPr="004E3363" w:rsidTr="004E3363">
        <w:trPr>
          <w:trHeight w:val="42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รวมหนี้สิน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282,586,242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320,389,979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279,475,063</w:t>
            </w:r>
          </w:p>
        </w:tc>
      </w:tr>
      <w:tr w:rsidR="004E3363" w:rsidRPr="004E3363" w:rsidTr="004E3363">
        <w:trPr>
          <w:trHeight w:val="42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สินทรัพย์สุทธิ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5E08B1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1,270,606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1,224,900,582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632,940,078</w:t>
            </w:r>
          </w:p>
        </w:tc>
      </w:tr>
      <w:tr w:rsidR="004E3363" w:rsidRPr="004E3363" w:rsidTr="004E3363">
        <w:trPr>
          <w:trHeight w:val="39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5" w:firstLine="276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อัตราส่วนทางการเงินที่สำคัญ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7"/>
              <w:contextualSpacing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4E3363" w:rsidRPr="004E3363" w:rsidTr="004E3363">
        <w:trPr>
          <w:trHeight w:val="442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จำนวนหน่วยทรัสต์ที่จำหน่ายแล้วทั้งหมด ณ วันปลายงวด (หน่วยทรัสต์)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4E3363" w:rsidRPr="004E3363" w:rsidRDefault="005E08B1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156,250,000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156,250,000</w:t>
            </w:r>
          </w:p>
        </w:tc>
        <w:tc>
          <w:tcPr>
            <w:tcW w:w="1534" w:type="dxa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82,000,000</w:t>
            </w:r>
          </w:p>
        </w:tc>
      </w:tr>
      <w:tr w:rsidR="004E3363" w:rsidRPr="004E3363" w:rsidTr="004E3363">
        <w:trPr>
          <w:trHeight w:val="340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มูลค่าราคาพาร์ของหน่วยทรัสต์ (บาทต่อหน่วยทรัสต์)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A46E3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7.4295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4295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4295</w:t>
            </w:r>
          </w:p>
        </w:tc>
      </w:tr>
      <w:tr w:rsidR="004E3363" w:rsidRPr="004E3363" w:rsidTr="004E3363">
        <w:trPr>
          <w:trHeight w:val="340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สินทรัพย์สุทธิต่อหน่วยทรัสต์ (บาทต่อหน่วยทรัสต์)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A46E3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8.1318</w:t>
            </w: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8394</w:t>
            </w:r>
          </w:p>
        </w:tc>
        <w:tc>
          <w:tcPr>
            <w:tcW w:w="1534" w:type="dxa"/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7187</w:t>
            </w:r>
          </w:p>
        </w:tc>
      </w:tr>
      <w:tr w:rsidR="004E3363" w:rsidRPr="004E3363" w:rsidTr="004E3363">
        <w:trPr>
          <w:trHeight w:val="45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อัตราส่วนของค่าใช้จ่ายรวมต่อมูลค่าสินทรัพย์สุทธิถัวเฉลี่ยระหว่างปี (%)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3.50</w:t>
            </w:r>
          </w:p>
        </w:tc>
        <w:tc>
          <w:tcPr>
            <w:tcW w:w="1534" w:type="dxa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 xml:space="preserve">74 </w:t>
            </w:r>
          </w:p>
        </w:tc>
      </w:tr>
      <w:tr w:rsidR="004E3363" w:rsidRPr="004E3363" w:rsidTr="004E3363">
        <w:trPr>
          <w:trHeight w:val="45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อัตราส่วนของรายได้จากการลงทุนรวมต่อมูลค่าสินทรัพย์สุทธิถัวเฉลี่ยระหว่างปี (%)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10.10</w:t>
            </w:r>
          </w:p>
        </w:tc>
        <w:tc>
          <w:tcPr>
            <w:tcW w:w="1534" w:type="dxa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 xml:space="preserve">77 </w:t>
            </w:r>
          </w:p>
        </w:tc>
      </w:tr>
      <w:tr w:rsidR="004E3363" w:rsidRPr="004E3363" w:rsidTr="004E3363">
        <w:trPr>
          <w:trHeight w:val="457"/>
        </w:trPr>
        <w:tc>
          <w:tcPr>
            <w:tcW w:w="527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อัตราส่วนของกำไรสุทธิต่อมูลค่าสินทรัพย์สุทธิถัวเฉลี่ยระหว่างปี (%)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E3363" w:rsidRPr="004E3363" w:rsidRDefault="004E3363" w:rsidP="004E3363">
            <w:pPr>
              <w:spacing w:line="240" w:lineRule="exact"/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96" w:type="dxa"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6.34</w:t>
            </w:r>
          </w:p>
        </w:tc>
        <w:tc>
          <w:tcPr>
            <w:tcW w:w="1534" w:type="dxa"/>
            <w:hideMark/>
          </w:tcPr>
          <w:p w:rsidR="004E3363" w:rsidRPr="004E3363" w:rsidRDefault="004E3363" w:rsidP="004E3363">
            <w:pPr>
              <w:spacing w:line="240" w:lineRule="exact"/>
              <w:ind w:left="318"/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4E3363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4E336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4E3363">
              <w:rPr>
                <w:rFonts w:ascii="TH SarabunPSK" w:hAnsi="TH SarabunPSK" w:cs="TH SarabunPSK"/>
                <w:sz w:val="26"/>
                <w:szCs w:val="26"/>
              </w:rPr>
              <w:t>21</w:t>
            </w:r>
          </w:p>
        </w:tc>
      </w:tr>
    </w:tbl>
    <w:p w:rsidR="004E3363" w:rsidRDefault="004E3363" w:rsidP="009C5484">
      <w:pPr>
        <w:rPr>
          <w:rFonts w:hint="cs"/>
          <w:cs/>
        </w:rPr>
        <w:sectPr w:rsidR="004E3363" w:rsidSect="004E3363">
          <w:pgSz w:w="12240" w:h="15840"/>
          <w:pgMar w:top="630" w:right="1440" w:bottom="720" w:left="900" w:header="720" w:footer="720" w:gutter="0"/>
          <w:cols w:space="720"/>
          <w:docGrid w:linePitch="360"/>
        </w:sectPr>
      </w:pPr>
    </w:p>
    <w:p w:rsidR="009C5484" w:rsidRPr="009C5484" w:rsidRDefault="009C5484" w:rsidP="004B432B">
      <w:pPr>
        <w:ind w:left="-270"/>
        <w:rPr>
          <w:rFonts w:hint="cs"/>
          <w:cs/>
        </w:rPr>
      </w:pPr>
    </w:p>
    <w:sectPr w:rsidR="009C5484" w:rsidRPr="009C5484" w:rsidSect="004B432B">
      <w:pgSz w:w="12240" w:h="15840"/>
      <w:pgMar w:top="72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7629"/>
    <w:multiLevelType w:val="hybridMultilevel"/>
    <w:tmpl w:val="FEACA2B6"/>
    <w:lvl w:ilvl="0" w:tplc="B05EB4D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C7DA1"/>
    <w:multiLevelType w:val="multilevel"/>
    <w:tmpl w:val="9E581E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84"/>
    <w:rsid w:val="001A5293"/>
    <w:rsid w:val="002A52F2"/>
    <w:rsid w:val="004A46E3"/>
    <w:rsid w:val="004B432B"/>
    <w:rsid w:val="004E3363"/>
    <w:rsid w:val="005E08B1"/>
    <w:rsid w:val="009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C45F-924B-4602-BE35-C9B1768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54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C5484"/>
  </w:style>
  <w:style w:type="character" w:customStyle="1" w:styleId="Heading3Char">
    <w:name w:val="Heading 3 Char"/>
    <w:basedOn w:val="DefaultParagraphFont"/>
    <w:link w:val="Heading3"/>
    <w:uiPriority w:val="9"/>
    <w:rsid w:val="009C548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E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Namfa Ditsaphakdi</dc:creator>
  <cp:keywords/>
  <dc:description/>
  <cp:lastModifiedBy>Namfa Ditsaphakdi</cp:lastModifiedBy>
  <cp:revision>1</cp:revision>
  <dcterms:created xsi:type="dcterms:W3CDTF">2021-03-08T05:51:00Z</dcterms:created>
  <dcterms:modified xsi:type="dcterms:W3CDTF">2021-03-08T07:06:00Z</dcterms:modified>
</cp:coreProperties>
</file>